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7043" w14:textId="77777777" w:rsidR="002E4B57" w:rsidRDefault="001F5D6E">
      <w:pPr>
        <w:spacing w:after="25" w:line="259" w:lineRule="auto"/>
        <w:ind w:left="0" w:right="0" w:firstLine="0"/>
        <w:jc w:val="left"/>
      </w:pPr>
      <w:r>
        <w:t xml:space="preserve"> </w:t>
      </w:r>
    </w:p>
    <w:p w14:paraId="4E58C076" w14:textId="77777777" w:rsidR="002E4B57" w:rsidRDefault="001F5D6E">
      <w:pPr>
        <w:spacing w:after="25" w:line="259" w:lineRule="auto"/>
        <w:ind w:left="0" w:right="0" w:firstLine="0"/>
        <w:jc w:val="left"/>
      </w:pPr>
      <w:r>
        <w:t xml:space="preserve"> </w:t>
      </w:r>
    </w:p>
    <w:p w14:paraId="3DDC4E1A" w14:textId="77777777" w:rsidR="002E4B57" w:rsidRDefault="001F5D6E">
      <w:pPr>
        <w:spacing w:after="524" w:line="259" w:lineRule="auto"/>
        <w:ind w:left="0" w:right="0" w:firstLine="0"/>
        <w:jc w:val="left"/>
      </w:pPr>
      <w:r>
        <w:t xml:space="preserve"> </w:t>
      </w:r>
    </w:p>
    <w:p w14:paraId="47AD101D" w14:textId="77777777" w:rsidR="002E4B57" w:rsidRDefault="001F5D6E">
      <w:pPr>
        <w:spacing w:after="87" w:line="259" w:lineRule="auto"/>
        <w:ind w:left="221" w:right="0" w:firstLine="0"/>
        <w:jc w:val="left"/>
      </w:pPr>
      <w:r>
        <w:rPr>
          <w:sz w:val="72"/>
        </w:rPr>
        <w:t xml:space="preserve">Treating Customers Fairly  </w:t>
      </w:r>
    </w:p>
    <w:p w14:paraId="55500C1D" w14:textId="77777777" w:rsidR="002E4B57" w:rsidRDefault="001F5D6E">
      <w:pPr>
        <w:spacing w:after="0" w:line="259" w:lineRule="auto"/>
        <w:ind w:left="194" w:right="0" w:firstLine="0"/>
        <w:jc w:val="center"/>
      </w:pPr>
      <w:r>
        <w:rPr>
          <w:sz w:val="72"/>
        </w:rPr>
        <w:t xml:space="preserve"> </w:t>
      </w:r>
    </w:p>
    <w:p w14:paraId="7AED9DBB" w14:textId="77777777" w:rsidR="002E4B57" w:rsidRDefault="001F5D6E">
      <w:pPr>
        <w:spacing w:after="529" w:line="259" w:lineRule="auto"/>
        <w:ind w:left="0" w:right="0" w:firstLine="0"/>
        <w:jc w:val="left"/>
      </w:pPr>
      <w:r>
        <w:t xml:space="preserve"> </w:t>
      </w:r>
    </w:p>
    <w:sdt>
      <w:sdtPr>
        <w:rPr>
          <w:b w:val="0"/>
          <w:color w:val="000000"/>
          <w:sz w:val="22"/>
        </w:rPr>
        <w:id w:val="57057377"/>
        <w:docPartObj>
          <w:docPartGallery w:val="Table of Contents"/>
        </w:docPartObj>
      </w:sdtPr>
      <w:sdtEndPr/>
      <w:sdtContent>
        <w:p w14:paraId="08C9100A" w14:textId="77777777" w:rsidR="002E4B57" w:rsidRPr="00DC2459" w:rsidRDefault="001F5D6E">
          <w:pPr>
            <w:pStyle w:val="Heading2"/>
            <w:ind w:left="-5"/>
            <w:rPr>
              <w:color w:val="B7BC34"/>
            </w:rPr>
          </w:pPr>
          <w:r w:rsidRPr="00DC2459">
            <w:rPr>
              <w:color w:val="B7BC34"/>
            </w:rPr>
            <w:t xml:space="preserve">Contents </w:t>
          </w:r>
        </w:p>
        <w:p w14:paraId="247901E9" w14:textId="77777777" w:rsidR="002E4B57" w:rsidRPr="001632E6" w:rsidRDefault="001F5D6E">
          <w:pPr>
            <w:spacing w:after="215" w:line="259" w:lineRule="auto"/>
            <w:ind w:left="0" w:right="0" w:firstLine="0"/>
            <w:jc w:val="left"/>
          </w:pPr>
          <w:r>
            <w:rPr>
              <w:rFonts w:ascii="Calibri" w:eastAsia="Calibri" w:hAnsi="Calibri" w:cs="Calibri"/>
            </w:rPr>
            <w:t xml:space="preserve"> </w:t>
          </w:r>
        </w:p>
        <w:p w14:paraId="514B1CEA" w14:textId="77777777" w:rsidR="002E4B57" w:rsidRPr="001632E6" w:rsidRDefault="001F5D6E">
          <w:pPr>
            <w:pStyle w:val="TOC1"/>
            <w:tabs>
              <w:tab w:val="right" w:leader="dot" w:pos="9031"/>
            </w:tabs>
            <w:rPr>
              <w:rFonts w:ascii="Century Gothic" w:hAnsi="Century Gothic"/>
            </w:rPr>
          </w:pPr>
          <w:r>
            <w:fldChar w:fldCharType="begin"/>
          </w:r>
          <w:r>
            <w:instrText xml:space="preserve"> TOC \o "1-1" \h \z \u </w:instrText>
          </w:r>
          <w:r>
            <w:fldChar w:fldCharType="separate"/>
          </w:r>
          <w:hyperlink w:anchor="_Toc2907">
            <w:r w:rsidR="002E4B57" w:rsidRPr="001632E6">
              <w:rPr>
                <w:rFonts w:ascii="Century Gothic" w:hAnsi="Century Gothic"/>
              </w:rPr>
              <w:t>Important</w:t>
            </w:r>
            <w:r w:rsidR="002E4B57" w:rsidRPr="001632E6">
              <w:rPr>
                <w:rFonts w:ascii="Century Gothic" w:hAnsi="Century Gothic"/>
              </w:rPr>
              <w:tab/>
            </w:r>
            <w:r w:rsidR="002E4B57" w:rsidRPr="001632E6">
              <w:rPr>
                <w:rFonts w:ascii="Century Gothic" w:hAnsi="Century Gothic"/>
              </w:rPr>
              <w:fldChar w:fldCharType="begin"/>
            </w:r>
            <w:r w:rsidR="002E4B57" w:rsidRPr="001632E6">
              <w:rPr>
                <w:rFonts w:ascii="Century Gothic" w:hAnsi="Century Gothic"/>
              </w:rPr>
              <w:instrText>PAGEREF _Toc2907 \h</w:instrText>
            </w:r>
            <w:r w:rsidR="002E4B57" w:rsidRPr="001632E6">
              <w:rPr>
                <w:rFonts w:ascii="Century Gothic" w:hAnsi="Century Gothic"/>
              </w:rPr>
            </w:r>
            <w:r w:rsidR="002E4B57" w:rsidRPr="001632E6">
              <w:rPr>
                <w:rFonts w:ascii="Century Gothic" w:hAnsi="Century Gothic"/>
              </w:rPr>
              <w:fldChar w:fldCharType="separate"/>
            </w:r>
            <w:r w:rsidR="002E4B57" w:rsidRPr="001632E6">
              <w:rPr>
                <w:rFonts w:ascii="Century Gothic" w:hAnsi="Century Gothic"/>
              </w:rPr>
              <w:t xml:space="preserve">2 </w:t>
            </w:r>
            <w:r w:rsidR="002E4B57" w:rsidRPr="001632E6">
              <w:rPr>
                <w:rFonts w:ascii="Century Gothic" w:hAnsi="Century Gothic"/>
              </w:rPr>
              <w:fldChar w:fldCharType="end"/>
            </w:r>
          </w:hyperlink>
        </w:p>
        <w:p w14:paraId="49A10B9B" w14:textId="77777777" w:rsidR="002E4B57" w:rsidRPr="001632E6" w:rsidRDefault="002E4B57">
          <w:pPr>
            <w:pStyle w:val="TOC1"/>
            <w:tabs>
              <w:tab w:val="right" w:leader="dot" w:pos="9031"/>
            </w:tabs>
            <w:rPr>
              <w:rFonts w:ascii="Century Gothic" w:hAnsi="Century Gothic"/>
            </w:rPr>
          </w:pPr>
          <w:hyperlink w:anchor="_Toc2908">
            <w:r w:rsidRPr="001632E6">
              <w:rPr>
                <w:rFonts w:ascii="Century Gothic" w:hAnsi="Century Gothic"/>
              </w:rPr>
              <w:t>What is TCF</w:t>
            </w:r>
            <w:r w:rsidRPr="001632E6">
              <w:rPr>
                <w:rFonts w:ascii="Century Gothic" w:hAnsi="Century Gothic"/>
              </w:rPr>
              <w:tab/>
            </w:r>
            <w:r w:rsidRPr="001632E6">
              <w:rPr>
                <w:rFonts w:ascii="Century Gothic" w:hAnsi="Century Gothic"/>
              </w:rPr>
              <w:fldChar w:fldCharType="begin"/>
            </w:r>
            <w:r w:rsidRPr="001632E6">
              <w:rPr>
                <w:rFonts w:ascii="Century Gothic" w:hAnsi="Century Gothic"/>
              </w:rPr>
              <w:instrText>PAGEREF _Toc2908 \h</w:instrText>
            </w:r>
            <w:r w:rsidRPr="001632E6">
              <w:rPr>
                <w:rFonts w:ascii="Century Gothic" w:hAnsi="Century Gothic"/>
              </w:rPr>
            </w:r>
            <w:r w:rsidRPr="001632E6">
              <w:rPr>
                <w:rFonts w:ascii="Century Gothic" w:hAnsi="Century Gothic"/>
              </w:rPr>
              <w:fldChar w:fldCharType="separate"/>
            </w:r>
            <w:r w:rsidRPr="001632E6">
              <w:rPr>
                <w:rFonts w:ascii="Century Gothic" w:hAnsi="Century Gothic"/>
              </w:rPr>
              <w:t xml:space="preserve">2 </w:t>
            </w:r>
            <w:r w:rsidRPr="001632E6">
              <w:rPr>
                <w:rFonts w:ascii="Century Gothic" w:hAnsi="Century Gothic"/>
              </w:rPr>
              <w:fldChar w:fldCharType="end"/>
            </w:r>
          </w:hyperlink>
        </w:p>
        <w:p w14:paraId="424727E7" w14:textId="77777777" w:rsidR="002E4B57" w:rsidRPr="001632E6" w:rsidRDefault="002E4B57">
          <w:pPr>
            <w:pStyle w:val="TOC1"/>
            <w:tabs>
              <w:tab w:val="right" w:leader="dot" w:pos="9031"/>
            </w:tabs>
            <w:rPr>
              <w:rFonts w:ascii="Century Gothic" w:hAnsi="Century Gothic"/>
            </w:rPr>
          </w:pPr>
          <w:hyperlink w:anchor="_Toc2909">
            <w:r w:rsidRPr="001632E6">
              <w:rPr>
                <w:rFonts w:ascii="Century Gothic" w:hAnsi="Century Gothic"/>
              </w:rPr>
              <w:t>What are the 6 TCF principles</w:t>
            </w:r>
            <w:r w:rsidRPr="001632E6">
              <w:rPr>
                <w:rFonts w:ascii="Century Gothic" w:hAnsi="Century Gothic"/>
              </w:rPr>
              <w:tab/>
            </w:r>
            <w:r w:rsidRPr="001632E6">
              <w:rPr>
                <w:rFonts w:ascii="Century Gothic" w:hAnsi="Century Gothic"/>
              </w:rPr>
              <w:fldChar w:fldCharType="begin"/>
            </w:r>
            <w:r w:rsidRPr="001632E6">
              <w:rPr>
                <w:rFonts w:ascii="Century Gothic" w:hAnsi="Century Gothic"/>
              </w:rPr>
              <w:instrText>PAGEREF _Toc2909 \h</w:instrText>
            </w:r>
            <w:r w:rsidRPr="001632E6">
              <w:rPr>
                <w:rFonts w:ascii="Century Gothic" w:hAnsi="Century Gothic"/>
              </w:rPr>
            </w:r>
            <w:r w:rsidRPr="001632E6">
              <w:rPr>
                <w:rFonts w:ascii="Century Gothic" w:hAnsi="Century Gothic"/>
              </w:rPr>
              <w:fldChar w:fldCharType="separate"/>
            </w:r>
            <w:r w:rsidRPr="001632E6">
              <w:rPr>
                <w:rFonts w:ascii="Century Gothic" w:hAnsi="Century Gothic"/>
              </w:rPr>
              <w:t xml:space="preserve">2 </w:t>
            </w:r>
            <w:r w:rsidRPr="001632E6">
              <w:rPr>
                <w:rFonts w:ascii="Century Gothic" w:hAnsi="Century Gothic"/>
              </w:rPr>
              <w:fldChar w:fldCharType="end"/>
            </w:r>
          </w:hyperlink>
        </w:p>
        <w:p w14:paraId="3ED2A6A7" w14:textId="77777777" w:rsidR="002E4B57" w:rsidRPr="001632E6" w:rsidRDefault="002E4B57">
          <w:pPr>
            <w:pStyle w:val="TOC1"/>
            <w:tabs>
              <w:tab w:val="right" w:leader="dot" w:pos="9031"/>
            </w:tabs>
            <w:rPr>
              <w:rFonts w:ascii="Century Gothic" w:hAnsi="Century Gothic"/>
            </w:rPr>
          </w:pPr>
          <w:hyperlink w:anchor="_Toc2910">
            <w:r w:rsidRPr="001632E6">
              <w:rPr>
                <w:rFonts w:ascii="Century Gothic" w:hAnsi="Century Gothic"/>
              </w:rPr>
              <w:t>Our promise to you</w:t>
            </w:r>
            <w:r w:rsidRPr="001632E6">
              <w:rPr>
                <w:rFonts w:ascii="Century Gothic" w:hAnsi="Century Gothic"/>
              </w:rPr>
              <w:tab/>
            </w:r>
            <w:r w:rsidRPr="001632E6">
              <w:rPr>
                <w:rFonts w:ascii="Century Gothic" w:hAnsi="Century Gothic"/>
              </w:rPr>
              <w:fldChar w:fldCharType="begin"/>
            </w:r>
            <w:r w:rsidRPr="001632E6">
              <w:rPr>
                <w:rFonts w:ascii="Century Gothic" w:hAnsi="Century Gothic"/>
              </w:rPr>
              <w:instrText>PAGEREF _Toc2910 \h</w:instrText>
            </w:r>
            <w:r w:rsidRPr="001632E6">
              <w:rPr>
                <w:rFonts w:ascii="Century Gothic" w:hAnsi="Century Gothic"/>
              </w:rPr>
            </w:r>
            <w:r w:rsidRPr="001632E6">
              <w:rPr>
                <w:rFonts w:ascii="Century Gothic" w:hAnsi="Century Gothic"/>
              </w:rPr>
              <w:fldChar w:fldCharType="separate"/>
            </w:r>
            <w:r w:rsidRPr="001632E6">
              <w:rPr>
                <w:rFonts w:ascii="Century Gothic" w:hAnsi="Century Gothic"/>
              </w:rPr>
              <w:t xml:space="preserve">3 </w:t>
            </w:r>
            <w:r w:rsidRPr="001632E6">
              <w:rPr>
                <w:rFonts w:ascii="Century Gothic" w:hAnsi="Century Gothic"/>
              </w:rPr>
              <w:fldChar w:fldCharType="end"/>
            </w:r>
          </w:hyperlink>
        </w:p>
        <w:p w14:paraId="3250376D" w14:textId="77777777" w:rsidR="002E4B57" w:rsidRPr="001632E6" w:rsidRDefault="002E4B57">
          <w:pPr>
            <w:pStyle w:val="TOC1"/>
            <w:tabs>
              <w:tab w:val="right" w:leader="dot" w:pos="9031"/>
            </w:tabs>
            <w:rPr>
              <w:rFonts w:ascii="Century Gothic" w:hAnsi="Century Gothic"/>
            </w:rPr>
          </w:pPr>
          <w:hyperlink w:anchor="_Toc2911">
            <w:r w:rsidRPr="001632E6">
              <w:rPr>
                <w:rFonts w:ascii="Century Gothic" w:hAnsi="Century Gothic"/>
              </w:rPr>
              <w:t>What can you do to help</w:t>
            </w:r>
            <w:r w:rsidRPr="001632E6">
              <w:rPr>
                <w:rFonts w:ascii="Century Gothic" w:hAnsi="Century Gothic"/>
              </w:rPr>
              <w:tab/>
            </w:r>
            <w:r w:rsidRPr="001632E6">
              <w:rPr>
                <w:rFonts w:ascii="Century Gothic" w:hAnsi="Century Gothic"/>
              </w:rPr>
              <w:fldChar w:fldCharType="begin"/>
            </w:r>
            <w:r w:rsidRPr="001632E6">
              <w:rPr>
                <w:rFonts w:ascii="Century Gothic" w:hAnsi="Century Gothic"/>
              </w:rPr>
              <w:instrText>PAGEREF _Toc2911 \h</w:instrText>
            </w:r>
            <w:r w:rsidRPr="001632E6">
              <w:rPr>
                <w:rFonts w:ascii="Century Gothic" w:hAnsi="Century Gothic"/>
              </w:rPr>
            </w:r>
            <w:r w:rsidRPr="001632E6">
              <w:rPr>
                <w:rFonts w:ascii="Century Gothic" w:hAnsi="Century Gothic"/>
              </w:rPr>
              <w:fldChar w:fldCharType="separate"/>
            </w:r>
            <w:r w:rsidRPr="001632E6">
              <w:rPr>
                <w:rFonts w:ascii="Century Gothic" w:hAnsi="Century Gothic"/>
              </w:rPr>
              <w:t xml:space="preserve">3 </w:t>
            </w:r>
            <w:r w:rsidRPr="001632E6">
              <w:rPr>
                <w:rFonts w:ascii="Century Gothic" w:hAnsi="Century Gothic"/>
              </w:rPr>
              <w:fldChar w:fldCharType="end"/>
            </w:r>
          </w:hyperlink>
        </w:p>
        <w:p w14:paraId="4A6B1382" w14:textId="77777777" w:rsidR="002E4B57" w:rsidRPr="001632E6" w:rsidRDefault="002E4B57">
          <w:pPr>
            <w:pStyle w:val="TOC1"/>
            <w:tabs>
              <w:tab w:val="right" w:leader="dot" w:pos="9031"/>
            </w:tabs>
            <w:rPr>
              <w:rFonts w:ascii="Century Gothic" w:hAnsi="Century Gothic"/>
            </w:rPr>
          </w:pPr>
          <w:hyperlink w:anchor="_Toc2912">
            <w:r w:rsidRPr="001632E6">
              <w:rPr>
                <w:rFonts w:ascii="Century Gothic" w:hAnsi="Century Gothic"/>
              </w:rPr>
              <w:t>Feedback</w:t>
            </w:r>
            <w:r w:rsidRPr="001632E6">
              <w:rPr>
                <w:rFonts w:ascii="Century Gothic" w:hAnsi="Century Gothic"/>
              </w:rPr>
              <w:tab/>
            </w:r>
            <w:r w:rsidRPr="001632E6">
              <w:rPr>
                <w:rFonts w:ascii="Century Gothic" w:hAnsi="Century Gothic"/>
              </w:rPr>
              <w:fldChar w:fldCharType="begin"/>
            </w:r>
            <w:r w:rsidRPr="001632E6">
              <w:rPr>
                <w:rFonts w:ascii="Century Gothic" w:hAnsi="Century Gothic"/>
              </w:rPr>
              <w:instrText>PAGEREF _Toc2912 \h</w:instrText>
            </w:r>
            <w:r w:rsidRPr="001632E6">
              <w:rPr>
                <w:rFonts w:ascii="Century Gothic" w:hAnsi="Century Gothic"/>
              </w:rPr>
            </w:r>
            <w:r w:rsidRPr="001632E6">
              <w:rPr>
                <w:rFonts w:ascii="Century Gothic" w:hAnsi="Century Gothic"/>
              </w:rPr>
              <w:fldChar w:fldCharType="separate"/>
            </w:r>
            <w:r w:rsidRPr="001632E6">
              <w:rPr>
                <w:rFonts w:ascii="Century Gothic" w:hAnsi="Century Gothic"/>
              </w:rPr>
              <w:t xml:space="preserve">4 </w:t>
            </w:r>
            <w:r w:rsidRPr="001632E6">
              <w:rPr>
                <w:rFonts w:ascii="Century Gothic" w:hAnsi="Century Gothic"/>
              </w:rPr>
              <w:fldChar w:fldCharType="end"/>
            </w:r>
          </w:hyperlink>
        </w:p>
        <w:p w14:paraId="08D843F0" w14:textId="77777777" w:rsidR="002E4B57" w:rsidRDefault="002E4B57">
          <w:pPr>
            <w:pStyle w:val="TOC1"/>
            <w:tabs>
              <w:tab w:val="right" w:leader="dot" w:pos="9031"/>
            </w:tabs>
          </w:pPr>
          <w:hyperlink w:anchor="_Toc2913">
            <w:r>
              <w:t>Version control</w:t>
            </w:r>
            <w:r>
              <w:tab/>
            </w:r>
            <w:r>
              <w:fldChar w:fldCharType="begin"/>
            </w:r>
            <w:r>
              <w:instrText>PAGEREF _Toc2913 \h</w:instrText>
            </w:r>
            <w:r>
              <w:fldChar w:fldCharType="separate"/>
            </w:r>
            <w:r>
              <w:t xml:space="preserve">4 </w:t>
            </w:r>
            <w:r>
              <w:fldChar w:fldCharType="end"/>
            </w:r>
          </w:hyperlink>
        </w:p>
        <w:p w14:paraId="6BB2FC44" w14:textId="77777777" w:rsidR="002E4B57" w:rsidRDefault="001F5D6E">
          <w:r>
            <w:fldChar w:fldCharType="end"/>
          </w:r>
        </w:p>
      </w:sdtContent>
    </w:sdt>
    <w:p w14:paraId="4C84B1BE" w14:textId="77777777" w:rsidR="002E4B57" w:rsidRDefault="001F5D6E">
      <w:pPr>
        <w:spacing w:after="224" w:line="259" w:lineRule="auto"/>
        <w:ind w:left="0" w:right="0" w:firstLine="0"/>
        <w:jc w:val="left"/>
      </w:pPr>
      <w:r>
        <w:t xml:space="preserve"> </w:t>
      </w:r>
    </w:p>
    <w:p w14:paraId="19A39560" w14:textId="77777777" w:rsidR="002E4B57" w:rsidRDefault="001F5D6E">
      <w:pPr>
        <w:spacing w:after="226" w:line="259" w:lineRule="auto"/>
        <w:ind w:left="0" w:right="0" w:firstLine="0"/>
        <w:jc w:val="left"/>
      </w:pPr>
      <w:r>
        <w:t xml:space="preserve"> </w:t>
      </w:r>
    </w:p>
    <w:p w14:paraId="33A64510" w14:textId="77777777" w:rsidR="002E4B57" w:rsidRDefault="001F5D6E">
      <w:pPr>
        <w:spacing w:after="0" w:line="259" w:lineRule="auto"/>
        <w:ind w:left="0" w:right="0" w:firstLine="0"/>
        <w:jc w:val="left"/>
      </w:pPr>
      <w:r>
        <w:t xml:space="preserve"> </w:t>
      </w:r>
      <w:r>
        <w:tab/>
        <w:t xml:space="preserve"> </w:t>
      </w:r>
    </w:p>
    <w:p w14:paraId="2FBED4E3" w14:textId="77777777" w:rsidR="008B63A9" w:rsidRDefault="008B63A9">
      <w:pPr>
        <w:spacing w:after="0" w:line="259" w:lineRule="auto"/>
        <w:ind w:left="0" w:right="0" w:firstLine="0"/>
        <w:jc w:val="left"/>
      </w:pPr>
    </w:p>
    <w:p w14:paraId="778EC87E" w14:textId="77777777" w:rsidR="008B63A9" w:rsidRDefault="008B63A9">
      <w:pPr>
        <w:spacing w:after="0" w:line="259" w:lineRule="auto"/>
        <w:ind w:left="0" w:right="0" w:firstLine="0"/>
        <w:jc w:val="left"/>
      </w:pPr>
    </w:p>
    <w:p w14:paraId="3B1C020F" w14:textId="77777777" w:rsidR="008B63A9" w:rsidRDefault="008B63A9">
      <w:pPr>
        <w:spacing w:after="0" w:line="259" w:lineRule="auto"/>
        <w:ind w:left="0" w:right="0" w:firstLine="0"/>
        <w:jc w:val="left"/>
      </w:pPr>
    </w:p>
    <w:p w14:paraId="1D08624C" w14:textId="77777777" w:rsidR="008B63A9" w:rsidRDefault="008B63A9">
      <w:pPr>
        <w:spacing w:after="0" w:line="259" w:lineRule="auto"/>
        <w:ind w:left="0" w:right="0" w:firstLine="0"/>
        <w:jc w:val="left"/>
      </w:pPr>
    </w:p>
    <w:p w14:paraId="7D818F3D" w14:textId="77777777" w:rsidR="008B63A9" w:rsidRDefault="008B63A9">
      <w:pPr>
        <w:spacing w:after="0" w:line="259" w:lineRule="auto"/>
        <w:ind w:left="0" w:right="0" w:firstLine="0"/>
        <w:jc w:val="left"/>
      </w:pPr>
    </w:p>
    <w:p w14:paraId="2A2203A0" w14:textId="77777777" w:rsidR="008B63A9" w:rsidRDefault="008B63A9">
      <w:pPr>
        <w:spacing w:after="0" w:line="259" w:lineRule="auto"/>
        <w:ind w:left="0" w:right="0" w:firstLine="0"/>
        <w:jc w:val="left"/>
      </w:pPr>
    </w:p>
    <w:p w14:paraId="7B9A84B5" w14:textId="77777777" w:rsidR="008B63A9" w:rsidRDefault="008B63A9">
      <w:pPr>
        <w:spacing w:after="0" w:line="259" w:lineRule="auto"/>
        <w:ind w:left="0" w:right="0" w:firstLine="0"/>
        <w:jc w:val="left"/>
      </w:pPr>
    </w:p>
    <w:p w14:paraId="1DB052BC" w14:textId="77777777" w:rsidR="008B63A9" w:rsidRDefault="008B63A9">
      <w:pPr>
        <w:spacing w:after="0" w:line="259" w:lineRule="auto"/>
        <w:ind w:left="0" w:right="0" w:firstLine="0"/>
        <w:jc w:val="left"/>
      </w:pPr>
    </w:p>
    <w:p w14:paraId="75701C19" w14:textId="77777777" w:rsidR="008B63A9" w:rsidRDefault="008B63A9">
      <w:pPr>
        <w:spacing w:after="0" w:line="259" w:lineRule="auto"/>
        <w:ind w:left="0" w:right="0" w:firstLine="0"/>
        <w:jc w:val="left"/>
      </w:pPr>
    </w:p>
    <w:p w14:paraId="693FFE8A" w14:textId="77777777" w:rsidR="008B63A9" w:rsidRDefault="008B63A9">
      <w:pPr>
        <w:spacing w:after="0" w:line="259" w:lineRule="auto"/>
        <w:ind w:left="0" w:right="0" w:firstLine="0"/>
        <w:jc w:val="left"/>
      </w:pPr>
    </w:p>
    <w:p w14:paraId="0ACC4CD3" w14:textId="77777777" w:rsidR="008B63A9" w:rsidRDefault="008B63A9">
      <w:pPr>
        <w:spacing w:after="0" w:line="259" w:lineRule="auto"/>
        <w:ind w:left="0" w:right="0" w:firstLine="0"/>
        <w:jc w:val="left"/>
      </w:pPr>
    </w:p>
    <w:p w14:paraId="73B5E626" w14:textId="77777777" w:rsidR="008B63A9" w:rsidRDefault="008B63A9">
      <w:pPr>
        <w:spacing w:after="0" w:line="259" w:lineRule="auto"/>
        <w:ind w:left="0" w:right="0" w:firstLine="0"/>
        <w:jc w:val="left"/>
      </w:pPr>
    </w:p>
    <w:p w14:paraId="6F6712B0" w14:textId="77777777" w:rsidR="008B63A9" w:rsidRDefault="008B63A9">
      <w:pPr>
        <w:spacing w:after="0" w:line="259" w:lineRule="auto"/>
        <w:ind w:left="0" w:right="0" w:firstLine="0"/>
        <w:jc w:val="left"/>
      </w:pPr>
    </w:p>
    <w:p w14:paraId="1CA32A96" w14:textId="77777777" w:rsidR="008B63A9" w:rsidRDefault="008B63A9">
      <w:pPr>
        <w:spacing w:after="0" w:line="259" w:lineRule="auto"/>
        <w:ind w:left="0" w:right="0" w:firstLine="0"/>
        <w:jc w:val="left"/>
      </w:pPr>
    </w:p>
    <w:p w14:paraId="76BE00A9" w14:textId="77777777" w:rsidR="008B63A9" w:rsidRDefault="008B63A9">
      <w:pPr>
        <w:spacing w:after="0" w:line="259" w:lineRule="auto"/>
        <w:ind w:left="0" w:right="0" w:firstLine="0"/>
        <w:jc w:val="left"/>
      </w:pPr>
    </w:p>
    <w:p w14:paraId="0CB451B4" w14:textId="77777777" w:rsidR="002E4B57" w:rsidRPr="00DC2459" w:rsidRDefault="001F5D6E">
      <w:pPr>
        <w:pStyle w:val="Heading1"/>
        <w:ind w:left="-5"/>
        <w:rPr>
          <w:color w:val="B7BC34"/>
        </w:rPr>
      </w:pPr>
      <w:bookmarkStart w:id="0" w:name="_Toc2907"/>
      <w:r w:rsidRPr="00DC2459">
        <w:rPr>
          <w:color w:val="B7BC34"/>
        </w:rPr>
        <w:lastRenderedPageBreak/>
        <w:t xml:space="preserve">Important </w:t>
      </w:r>
      <w:bookmarkEnd w:id="0"/>
    </w:p>
    <w:p w14:paraId="7CAF2687" w14:textId="77777777" w:rsidR="002E4B57" w:rsidRDefault="001F5D6E">
      <w:pPr>
        <w:spacing w:after="25" w:line="259" w:lineRule="auto"/>
        <w:ind w:left="0" w:right="0" w:firstLine="0"/>
        <w:jc w:val="left"/>
      </w:pPr>
      <w:r>
        <w:t xml:space="preserve"> </w:t>
      </w:r>
    </w:p>
    <w:p w14:paraId="6665F576" w14:textId="77777777" w:rsidR="002E4B57" w:rsidRDefault="001F5D6E">
      <w:pPr>
        <w:spacing w:after="511"/>
        <w:ind w:left="-5" w:right="0"/>
      </w:pPr>
      <w:r>
        <w:t xml:space="preserve">Kindly note that we refer to you as our “Members”, and we have attempted to keep this consistent in all our communication, however, there are some instances where we had to refer to you as “the client” due to legalities.   </w:t>
      </w:r>
    </w:p>
    <w:p w14:paraId="7086A9C6" w14:textId="77777777" w:rsidR="002E4B57" w:rsidRPr="00DC2459" w:rsidRDefault="001F5D6E">
      <w:pPr>
        <w:pStyle w:val="Heading1"/>
        <w:ind w:left="-5"/>
        <w:rPr>
          <w:color w:val="B7BC34"/>
        </w:rPr>
      </w:pPr>
      <w:bookmarkStart w:id="1" w:name="_Toc2908"/>
      <w:r w:rsidRPr="00DC2459">
        <w:rPr>
          <w:color w:val="B7BC34"/>
        </w:rPr>
        <w:t xml:space="preserve">What is TCF </w:t>
      </w:r>
      <w:bookmarkEnd w:id="1"/>
    </w:p>
    <w:p w14:paraId="792BFF12" w14:textId="77777777" w:rsidR="002E4B57" w:rsidRDefault="001F5D6E">
      <w:pPr>
        <w:spacing w:after="25" w:line="259" w:lineRule="auto"/>
        <w:ind w:left="0" w:right="0" w:firstLine="0"/>
        <w:jc w:val="left"/>
      </w:pPr>
      <w:r>
        <w:t xml:space="preserve"> </w:t>
      </w:r>
    </w:p>
    <w:p w14:paraId="27E55658" w14:textId="77777777" w:rsidR="002E4B57" w:rsidRDefault="001F5D6E">
      <w:pPr>
        <w:ind w:left="-5" w:right="0"/>
      </w:pPr>
      <w:r>
        <w:t>TCF stands for Treating Customers Fairly. The principles were introduced and monitored by the FSCA to ensure that the fair treatment of customers (</w:t>
      </w:r>
      <w:proofErr w:type="spellStart"/>
      <w:r>
        <w:t>MediPet’s</w:t>
      </w:r>
      <w:proofErr w:type="spellEnd"/>
      <w:r>
        <w:t xml:space="preserve"> members) is embedded within the culture of all Financial Services Providers.  </w:t>
      </w:r>
    </w:p>
    <w:p w14:paraId="242E2ABD" w14:textId="77777777" w:rsidR="002E4B57" w:rsidRDefault="001F5D6E">
      <w:pPr>
        <w:spacing w:after="25" w:line="259" w:lineRule="auto"/>
        <w:ind w:left="0" w:right="0" w:firstLine="0"/>
        <w:jc w:val="left"/>
      </w:pPr>
      <w:r>
        <w:t xml:space="preserve"> </w:t>
      </w:r>
    </w:p>
    <w:p w14:paraId="1A2A540D" w14:textId="77777777" w:rsidR="002E4B57" w:rsidRDefault="001F5D6E">
      <w:pPr>
        <w:spacing w:after="514"/>
        <w:ind w:left="-5" w:right="0"/>
      </w:pPr>
      <w:r>
        <w:t xml:space="preserve">The goal of TCF is to improve member confidence, ensure appropriate products and services, and enhanced transparency, discipline and good business practice.  </w:t>
      </w:r>
    </w:p>
    <w:p w14:paraId="64E743D2" w14:textId="77777777" w:rsidR="002E4B57" w:rsidRPr="00DC2459" w:rsidRDefault="001F5D6E">
      <w:pPr>
        <w:pStyle w:val="Heading1"/>
        <w:ind w:left="-5"/>
        <w:rPr>
          <w:color w:val="B7BC34"/>
        </w:rPr>
      </w:pPr>
      <w:bookmarkStart w:id="2" w:name="_Toc2909"/>
      <w:r w:rsidRPr="00DC2459">
        <w:rPr>
          <w:color w:val="B7BC34"/>
        </w:rPr>
        <w:t xml:space="preserve">What are the 6 TCF principles </w:t>
      </w:r>
      <w:bookmarkEnd w:id="2"/>
    </w:p>
    <w:p w14:paraId="1721CBF9" w14:textId="77777777" w:rsidR="002E4B57" w:rsidRDefault="001F5D6E">
      <w:pPr>
        <w:spacing w:after="25" w:line="259" w:lineRule="auto"/>
        <w:ind w:left="0" w:right="0" w:firstLine="0"/>
        <w:jc w:val="left"/>
      </w:pPr>
      <w:r>
        <w:t xml:space="preserve"> </w:t>
      </w:r>
    </w:p>
    <w:p w14:paraId="069ACC87" w14:textId="77777777" w:rsidR="002E4B57" w:rsidRDefault="001F5D6E">
      <w:pPr>
        <w:ind w:left="-5" w:right="0"/>
      </w:pPr>
      <w:r>
        <w:t xml:space="preserve">MediPet Animal Health Insurance Brokers and all its employees subscribe to all six outcomes of TCF which are as follows:  </w:t>
      </w:r>
    </w:p>
    <w:p w14:paraId="7BA50BF0" w14:textId="77777777" w:rsidR="002E4B57" w:rsidRDefault="001F5D6E">
      <w:pPr>
        <w:spacing w:after="25" w:line="259" w:lineRule="auto"/>
        <w:ind w:left="0" w:right="0" w:firstLine="0"/>
        <w:jc w:val="left"/>
      </w:pPr>
      <w:r>
        <w:t xml:space="preserve"> </w:t>
      </w:r>
    </w:p>
    <w:p w14:paraId="05C7FF89" w14:textId="77777777" w:rsidR="002E4B57" w:rsidRDefault="001F5D6E">
      <w:pPr>
        <w:ind w:left="-5" w:right="0"/>
      </w:pPr>
      <w:r>
        <w:t xml:space="preserve">Outcome 1: </w:t>
      </w:r>
    </w:p>
    <w:p w14:paraId="64A2DC4C" w14:textId="77777777" w:rsidR="002E4B57" w:rsidRDefault="001F5D6E">
      <w:pPr>
        <w:ind w:left="-5" w:right="0"/>
      </w:pPr>
      <w:r>
        <w:t xml:space="preserve">Members are confident that they are dealing with providers where the fair treatment of members is central to the provider’s culture.  </w:t>
      </w:r>
    </w:p>
    <w:p w14:paraId="56EA2BEC" w14:textId="77777777" w:rsidR="002E4B57" w:rsidRDefault="001F5D6E">
      <w:pPr>
        <w:spacing w:after="25" w:line="259" w:lineRule="auto"/>
        <w:ind w:left="0" w:right="0" w:firstLine="0"/>
        <w:jc w:val="left"/>
      </w:pPr>
      <w:r>
        <w:t xml:space="preserve"> </w:t>
      </w:r>
    </w:p>
    <w:p w14:paraId="70A3CE2E" w14:textId="77777777" w:rsidR="002E4B57" w:rsidRDefault="001F5D6E">
      <w:pPr>
        <w:ind w:left="-5" w:right="0"/>
      </w:pPr>
      <w:r>
        <w:t xml:space="preserve">Outcome 2: </w:t>
      </w:r>
    </w:p>
    <w:p w14:paraId="5729A58F" w14:textId="77777777" w:rsidR="002E4B57" w:rsidRDefault="001F5D6E">
      <w:pPr>
        <w:ind w:left="-5" w:right="0"/>
      </w:pPr>
      <w:r>
        <w:t xml:space="preserve">Products and services marketed and sold are designed to meet the needs of identified member groups and targeted accordingly.  </w:t>
      </w:r>
    </w:p>
    <w:p w14:paraId="73C139AF" w14:textId="77777777" w:rsidR="002E4B57" w:rsidRDefault="001F5D6E">
      <w:pPr>
        <w:spacing w:after="25" w:line="259" w:lineRule="auto"/>
        <w:ind w:left="0" w:right="0" w:firstLine="0"/>
        <w:jc w:val="left"/>
      </w:pPr>
      <w:r>
        <w:t xml:space="preserve"> </w:t>
      </w:r>
    </w:p>
    <w:p w14:paraId="56CEED80" w14:textId="77777777" w:rsidR="002E4B57" w:rsidRDefault="001F5D6E">
      <w:pPr>
        <w:ind w:left="-5" w:right="0"/>
      </w:pPr>
      <w:r>
        <w:t xml:space="preserve">Outcome 3: </w:t>
      </w:r>
    </w:p>
    <w:p w14:paraId="5B7A3C50" w14:textId="77777777" w:rsidR="002E4B57" w:rsidRDefault="001F5D6E">
      <w:pPr>
        <w:ind w:left="-5" w:right="0"/>
      </w:pPr>
      <w:r>
        <w:t xml:space="preserve">Members are given clear information and are kept appropriately informed before, during and after the time of contracting.  </w:t>
      </w:r>
    </w:p>
    <w:p w14:paraId="7B68A9B7" w14:textId="77777777" w:rsidR="002E4B57" w:rsidRDefault="001F5D6E">
      <w:pPr>
        <w:spacing w:after="25" w:line="259" w:lineRule="auto"/>
        <w:ind w:left="0" w:right="0" w:firstLine="0"/>
        <w:jc w:val="left"/>
      </w:pPr>
      <w:r>
        <w:t xml:space="preserve"> </w:t>
      </w:r>
    </w:p>
    <w:p w14:paraId="7943DDD1" w14:textId="77777777" w:rsidR="002E4B57" w:rsidRDefault="001F5D6E">
      <w:pPr>
        <w:ind w:left="-5" w:right="0"/>
      </w:pPr>
      <w:r>
        <w:t xml:space="preserve">Outcome 4: </w:t>
      </w:r>
    </w:p>
    <w:p w14:paraId="3BA1A35F" w14:textId="77777777" w:rsidR="002E4B57" w:rsidRDefault="001F5D6E">
      <w:pPr>
        <w:ind w:left="-5" w:right="0"/>
      </w:pPr>
      <w:r>
        <w:t xml:space="preserve">Where members receive advice, the advice is suitable and takes account of their circumstances. This outcome is not applicable as MediPet does not render advice as defined in the FAIS act, however, MediPet does provide advice to members from a veterinary perspective.   </w:t>
      </w:r>
    </w:p>
    <w:p w14:paraId="43054482" w14:textId="77777777" w:rsidR="002E4B57" w:rsidRDefault="001F5D6E">
      <w:pPr>
        <w:spacing w:after="27" w:line="259" w:lineRule="auto"/>
        <w:ind w:left="0" w:right="0" w:firstLine="0"/>
        <w:jc w:val="left"/>
      </w:pPr>
      <w:r>
        <w:t xml:space="preserve"> </w:t>
      </w:r>
    </w:p>
    <w:p w14:paraId="3C2216A1" w14:textId="77777777" w:rsidR="002E4B57" w:rsidRDefault="001F5D6E">
      <w:pPr>
        <w:ind w:left="-5" w:right="0"/>
      </w:pPr>
      <w:r>
        <w:t xml:space="preserve">Outcome 5: </w:t>
      </w:r>
    </w:p>
    <w:p w14:paraId="02CAEB72" w14:textId="77777777" w:rsidR="002E4B57" w:rsidRDefault="001F5D6E">
      <w:pPr>
        <w:ind w:left="-5" w:right="0"/>
      </w:pPr>
      <w:r>
        <w:t xml:space="preserve">Members provided with products that perform as providers have led them to expect, and the associated service is both of an acceptable standard and what they have </w:t>
      </w:r>
      <w:r>
        <w:lastRenderedPageBreak/>
        <w:t xml:space="preserve">been led to expect. MediPet has only one product and one insurer with different plans of cover.  </w:t>
      </w:r>
    </w:p>
    <w:p w14:paraId="3DB7166F" w14:textId="77777777" w:rsidR="002E4B57" w:rsidRDefault="001F5D6E">
      <w:pPr>
        <w:spacing w:after="25" w:line="259" w:lineRule="auto"/>
        <w:ind w:left="0" w:right="0" w:firstLine="0"/>
        <w:jc w:val="left"/>
      </w:pPr>
      <w:r>
        <w:t xml:space="preserve"> </w:t>
      </w:r>
    </w:p>
    <w:p w14:paraId="33E465A3" w14:textId="77777777" w:rsidR="002E4B57" w:rsidRDefault="001F5D6E">
      <w:pPr>
        <w:ind w:left="-5" w:right="0"/>
      </w:pPr>
      <w:r>
        <w:t xml:space="preserve">Outcome 6: </w:t>
      </w:r>
    </w:p>
    <w:p w14:paraId="5C1BE95E" w14:textId="77777777" w:rsidR="002E4B57" w:rsidRDefault="001F5D6E">
      <w:pPr>
        <w:ind w:left="-5" w:right="0"/>
      </w:pPr>
      <w:r>
        <w:t xml:space="preserve">Members do not face unreasonable post-sale barriers to change the product, switch provider, submit a claim or make a complaint.  </w:t>
      </w:r>
    </w:p>
    <w:p w14:paraId="35D49C1B" w14:textId="77777777" w:rsidR="002E4B57" w:rsidRDefault="001F5D6E">
      <w:pPr>
        <w:spacing w:after="25" w:line="259" w:lineRule="auto"/>
        <w:ind w:left="0" w:right="0" w:firstLine="0"/>
        <w:jc w:val="left"/>
      </w:pPr>
      <w:r>
        <w:t xml:space="preserve"> </w:t>
      </w:r>
    </w:p>
    <w:p w14:paraId="3875934C" w14:textId="77777777" w:rsidR="002E4B57" w:rsidRDefault="001F5D6E">
      <w:pPr>
        <w:spacing w:after="514"/>
        <w:ind w:left="-5" w:right="0"/>
      </w:pPr>
      <w:r>
        <w:t xml:space="preserve">MediPet has one product with different Plans (cover) available. A member may upgrade/downgrade their policy provided the request complies with the terms noted in the policy wording. We further explain the claiming process on our website </w:t>
      </w:r>
      <w:hyperlink r:id="rId7">
        <w:r w:rsidR="002E4B57">
          <w:t>(</w:t>
        </w:r>
      </w:hyperlink>
      <w:hyperlink r:id="rId8">
        <w:r w:rsidR="002E4B57">
          <w:rPr>
            <w:color w:val="0000FF"/>
            <w:u w:val="single" w:color="0000FF"/>
          </w:rPr>
          <w:t>www.medipet.co.za</w:t>
        </w:r>
      </w:hyperlink>
      <w:hyperlink r:id="rId9">
        <w:r w:rsidR="002E4B57">
          <w:t>)</w:t>
        </w:r>
      </w:hyperlink>
      <w:r>
        <w:t xml:space="preserve"> and the process is included in the new members welcome pack. All complaints are logged in the complaints register and followed through until the complaint is resolved. Our internal complaints resolution process is intended to provide fair and effective resolution of complaints.  </w:t>
      </w:r>
    </w:p>
    <w:p w14:paraId="11A09C22" w14:textId="77777777" w:rsidR="002E4B57" w:rsidRPr="00DC2459" w:rsidRDefault="001F5D6E">
      <w:pPr>
        <w:pStyle w:val="Heading1"/>
        <w:ind w:left="-5"/>
        <w:rPr>
          <w:color w:val="B7BC34"/>
        </w:rPr>
      </w:pPr>
      <w:bookmarkStart w:id="3" w:name="_Toc2910"/>
      <w:r w:rsidRPr="00DC2459">
        <w:rPr>
          <w:color w:val="B7BC34"/>
        </w:rPr>
        <w:t xml:space="preserve">Our promise to you </w:t>
      </w:r>
      <w:bookmarkEnd w:id="3"/>
    </w:p>
    <w:p w14:paraId="59928FCE" w14:textId="77777777" w:rsidR="002E4B57" w:rsidRDefault="001F5D6E">
      <w:pPr>
        <w:spacing w:after="25" w:line="259" w:lineRule="auto"/>
        <w:ind w:left="0" w:right="0" w:firstLine="0"/>
        <w:jc w:val="left"/>
      </w:pPr>
      <w:r>
        <w:t xml:space="preserve"> </w:t>
      </w:r>
    </w:p>
    <w:p w14:paraId="66A3A84D" w14:textId="77777777" w:rsidR="002E4B57" w:rsidRDefault="001F5D6E">
      <w:pPr>
        <w:ind w:left="-5" w:right="0"/>
      </w:pPr>
      <w:r>
        <w:t xml:space="preserve">We are committed to ensuring the following:  </w:t>
      </w:r>
    </w:p>
    <w:p w14:paraId="2F7C8357" w14:textId="77777777" w:rsidR="002E4B57" w:rsidRDefault="001F5D6E">
      <w:pPr>
        <w:spacing w:after="25" w:line="259" w:lineRule="auto"/>
        <w:ind w:left="0" w:right="0" w:firstLine="0"/>
        <w:jc w:val="left"/>
      </w:pPr>
      <w:r>
        <w:t xml:space="preserve"> </w:t>
      </w:r>
    </w:p>
    <w:p w14:paraId="56C773A0" w14:textId="77777777" w:rsidR="002E4B57" w:rsidRDefault="001F5D6E">
      <w:pPr>
        <w:numPr>
          <w:ilvl w:val="0"/>
          <w:numId w:val="1"/>
        </w:numPr>
        <w:ind w:right="0" w:hanging="360"/>
      </w:pPr>
      <w:r>
        <w:t xml:space="preserve">We will deliver a prompt, friendly, efficient, compassionate and courteous service at all times.  </w:t>
      </w:r>
    </w:p>
    <w:p w14:paraId="3CABA4DB" w14:textId="77777777" w:rsidR="002E4B57" w:rsidRDefault="001F5D6E">
      <w:pPr>
        <w:numPr>
          <w:ilvl w:val="0"/>
          <w:numId w:val="1"/>
        </w:numPr>
        <w:ind w:right="0" w:hanging="360"/>
      </w:pPr>
      <w:r>
        <w:t xml:space="preserve">We will provide efficient customer-driven processes.  </w:t>
      </w:r>
    </w:p>
    <w:p w14:paraId="1FE03655" w14:textId="77777777" w:rsidR="002E4B57" w:rsidRDefault="001F5D6E">
      <w:pPr>
        <w:numPr>
          <w:ilvl w:val="0"/>
          <w:numId w:val="1"/>
        </w:numPr>
        <w:ind w:right="0" w:hanging="360"/>
      </w:pPr>
      <w:r>
        <w:t xml:space="preserve">Continuously improve and identify new technologies and endeavour to excel in the delivery of our customer service.  </w:t>
      </w:r>
    </w:p>
    <w:p w14:paraId="77912D5F" w14:textId="77777777" w:rsidR="002E4B57" w:rsidRDefault="001F5D6E">
      <w:pPr>
        <w:numPr>
          <w:ilvl w:val="0"/>
          <w:numId w:val="1"/>
        </w:numPr>
        <w:ind w:right="0" w:hanging="360"/>
      </w:pPr>
      <w:r>
        <w:t xml:space="preserve">We do not give advice. However, we will offer factual information and explanations on our plans in order for our members to make informed decisions. We do provide veterinary advice to help our members understand the underwriting, endorsements and interpretation of vet histories and invoices. </w:t>
      </w:r>
    </w:p>
    <w:p w14:paraId="17869531" w14:textId="77777777" w:rsidR="002E4B57" w:rsidRDefault="001F5D6E">
      <w:pPr>
        <w:numPr>
          <w:ilvl w:val="0"/>
          <w:numId w:val="1"/>
        </w:numPr>
        <w:spacing w:after="2" w:line="282" w:lineRule="auto"/>
        <w:ind w:right="0" w:hanging="360"/>
      </w:pPr>
      <w:r>
        <w:t xml:space="preserve">We always encourage feedback regarding our cover and our service in order to constantly improve and grow as a company and ensure member satisfaction.  </w:t>
      </w:r>
    </w:p>
    <w:p w14:paraId="2116400F" w14:textId="77777777" w:rsidR="002E4B57" w:rsidRDefault="001F5D6E">
      <w:pPr>
        <w:numPr>
          <w:ilvl w:val="0"/>
          <w:numId w:val="1"/>
        </w:numPr>
        <w:spacing w:after="516"/>
        <w:ind w:right="0" w:hanging="360"/>
      </w:pPr>
      <w:r>
        <w:t xml:space="preserve">We are an open and transparent company. </w:t>
      </w:r>
    </w:p>
    <w:p w14:paraId="6DA44F52" w14:textId="77777777" w:rsidR="002E4B57" w:rsidRPr="00DC2459" w:rsidRDefault="001F5D6E">
      <w:pPr>
        <w:pStyle w:val="Heading1"/>
        <w:ind w:left="-5"/>
        <w:rPr>
          <w:color w:val="B7BC34"/>
        </w:rPr>
      </w:pPr>
      <w:bookmarkStart w:id="4" w:name="_Toc2911"/>
      <w:r w:rsidRPr="00DC2459">
        <w:rPr>
          <w:color w:val="B7BC34"/>
        </w:rPr>
        <w:t xml:space="preserve">What can you do to help </w:t>
      </w:r>
      <w:bookmarkEnd w:id="4"/>
    </w:p>
    <w:p w14:paraId="5383EEC1" w14:textId="77777777" w:rsidR="002E4B57" w:rsidRDefault="001F5D6E">
      <w:pPr>
        <w:spacing w:after="25" w:line="259" w:lineRule="auto"/>
        <w:ind w:left="0" w:right="0" w:firstLine="0"/>
        <w:jc w:val="left"/>
      </w:pPr>
      <w:r>
        <w:t xml:space="preserve"> </w:t>
      </w:r>
    </w:p>
    <w:p w14:paraId="076B4699" w14:textId="77777777" w:rsidR="002E4B57" w:rsidRDefault="001F5D6E">
      <w:pPr>
        <w:ind w:left="-5" w:right="0"/>
      </w:pPr>
      <w:r>
        <w:t xml:space="preserve">You can assist us with TCF by doing the following:  </w:t>
      </w:r>
    </w:p>
    <w:p w14:paraId="397FFEF3" w14:textId="77777777" w:rsidR="002E4B57" w:rsidRDefault="001F5D6E">
      <w:pPr>
        <w:spacing w:after="25" w:line="259" w:lineRule="auto"/>
        <w:ind w:left="0" w:right="0" w:firstLine="0"/>
        <w:jc w:val="left"/>
      </w:pPr>
      <w:r>
        <w:t xml:space="preserve"> </w:t>
      </w:r>
    </w:p>
    <w:p w14:paraId="7E647FEC" w14:textId="77777777" w:rsidR="002E4B57" w:rsidRDefault="001F5D6E">
      <w:pPr>
        <w:numPr>
          <w:ilvl w:val="0"/>
          <w:numId w:val="2"/>
        </w:numPr>
        <w:ind w:right="0" w:hanging="360"/>
      </w:pPr>
      <w:r>
        <w:t xml:space="preserve">By providing all the relevant information about you, your pet(s) and disclosing all information requested in the application form.  </w:t>
      </w:r>
    </w:p>
    <w:p w14:paraId="708C8428" w14:textId="77777777" w:rsidR="002E4B57" w:rsidRDefault="001F5D6E">
      <w:pPr>
        <w:numPr>
          <w:ilvl w:val="0"/>
          <w:numId w:val="2"/>
        </w:numPr>
        <w:ind w:right="0" w:hanging="360"/>
      </w:pPr>
      <w:r>
        <w:t xml:space="preserve">Inform us of any changes to your personal details or your pet's information to ensure we keep our records up to date.  </w:t>
      </w:r>
    </w:p>
    <w:p w14:paraId="59B6E372" w14:textId="77777777" w:rsidR="002E4B57" w:rsidRDefault="001F5D6E">
      <w:pPr>
        <w:numPr>
          <w:ilvl w:val="0"/>
          <w:numId w:val="2"/>
        </w:numPr>
        <w:ind w:right="0" w:hanging="360"/>
      </w:pPr>
      <w:r>
        <w:t xml:space="preserve">Tell us how we can improve our service to you and your pets. If you have any suggestions about the MediPet plans, we would love to hear from you.  </w:t>
      </w:r>
    </w:p>
    <w:p w14:paraId="5840826D" w14:textId="77777777" w:rsidR="002E4B57" w:rsidRDefault="001F5D6E">
      <w:pPr>
        <w:numPr>
          <w:ilvl w:val="0"/>
          <w:numId w:val="2"/>
        </w:numPr>
        <w:ind w:right="0" w:hanging="360"/>
      </w:pPr>
      <w:r>
        <w:lastRenderedPageBreak/>
        <w:t xml:space="preserve">Please read and familiarise yourself with the policy wording, policy schedule and all communications sent. Please remember that we are always available to assist you with any questions or queries.  </w:t>
      </w:r>
    </w:p>
    <w:p w14:paraId="3DD86CA9" w14:textId="77777777" w:rsidR="002E4B57" w:rsidRDefault="001F5D6E">
      <w:pPr>
        <w:numPr>
          <w:ilvl w:val="0"/>
          <w:numId w:val="2"/>
        </w:numPr>
        <w:spacing w:after="511"/>
        <w:ind w:right="0" w:hanging="360"/>
      </w:pPr>
      <w:r>
        <w:t xml:space="preserve">If there is any part of your schedule or policy wording that you are unsure about or not happy with, please let us know.  </w:t>
      </w:r>
    </w:p>
    <w:p w14:paraId="32CD59CD" w14:textId="77777777" w:rsidR="002E4B57" w:rsidRPr="00DC2459" w:rsidRDefault="001F5D6E">
      <w:pPr>
        <w:pStyle w:val="Heading1"/>
        <w:ind w:left="-5"/>
        <w:rPr>
          <w:color w:val="B7BC34"/>
        </w:rPr>
      </w:pPr>
      <w:bookmarkStart w:id="5" w:name="_Toc2912"/>
      <w:r w:rsidRPr="00DC2459">
        <w:rPr>
          <w:color w:val="B7BC34"/>
        </w:rPr>
        <w:t xml:space="preserve">Feedback </w:t>
      </w:r>
      <w:bookmarkEnd w:id="5"/>
    </w:p>
    <w:p w14:paraId="0AFACF1D" w14:textId="77777777" w:rsidR="002E4B57" w:rsidRDefault="001F5D6E">
      <w:pPr>
        <w:spacing w:after="25" w:line="259" w:lineRule="auto"/>
        <w:ind w:left="0" w:right="0" w:firstLine="0"/>
        <w:jc w:val="left"/>
      </w:pPr>
      <w:r>
        <w:t xml:space="preserve"> </w:t>
      </w:r>
    </w:p>
    <w:p w14:paraId="52E84381" w14:textId="77777777" w:rsidR="002E4B57" w:rsidRDefault="001F5D6E">
      <w:pPr>
        <w:spacing w:after="512"/>
        <w:ind w:left="-5" w:right="0"/>
      </w:pPr>
      <w:r>
        <w:t xml:space="preserve">Should you have any feedback or suggestions, please forward them to </w:t>
      </w:r>
      <w:r>
        <w:rPr>
          <w:color w:val="0000FF"/>
          <w:u w:val="single" w:color="0000FF"/>
        </w:rPr>
        <w:t>info@medipet.co.za</w:t>
      </w:r>
      <w:r>
        <w:t xml:space="preserve">. Details of our complaints procedure can be found on our website </w:t>
      </w:r>
      <w:hyperlink r:id="rId10">
        <w:r w:rsidR="002E4B57">
          <w:rPr>
            <w:color w:val="0000FF"/>
            <w:u w:val="single" w:color="0000FF"/>
          </w:rPr>
          <w:t>www.medipet.co.za</w:t>
        </w:r>
      </w:hyperlink>
      <w:hyperlink r:id="rId11">
        <w:r w:rsidR="002E4B57">
          <w:t xml:space="preserve"> </w:t>
        </w:r>
      </w:hyperlink>
      <w:r>
        <w:t xml:space="preserve">or you may refer to your policy schedule and associated documents. You may also contact our office on 021 701 2023. </w:t>
      </w:r>
    </w:p>
    <w:p w14:paraId="3372A001" w14:textId="77777777" w:rsidR="002E4B57" w:rsidRPr="00DC2459" w:rsidRDefault="001F5D6E">
      <w:pPr>
        <w:pStyle w:val="Heading1"/>
        <w:ind w:left="-5"/>
        <w:rPr>
          <w:color w:val="B7BC34"/>
        </w:rPr>
      </w:pPr>
      <w:bookmarkStart w:id="6" w:name="_Toc2913"/>
      <w:r w:rsidRPr="00DC2459">
        <w:rPr>
          <w:color w:val="B7BC34"/>
        </w:rPr>
        <w:t xml:space="preserve">Version control </w:t>
      </w:r>
      <w:bookmarkEnd w:id="6"/>
    </w:p>
    <w:p w14:paraId="4F710EAB" w14:textId="77777777" w:rsidR="002E4B57" w:rsidRDefault="001F5D6E">
      <w:pPr>
        <w:spacing w:after="25" w:line="259" w:lineRule="auto"/>
        <w:ind w:left="0" w:right="0" w:firstLine="0"/>
        <w:jc w:val="left"/>
      </w:pPr>
      <w:r>
        <w:t xml:space="preserve"> </w:t>
      </w:r>
    </w:p>
    <w:p w14:paraId="3F4C9AD3" w14:textId="77777777" w:rsidR="002E4B57" w:rsidRDefault="001F5D6E">
      <w:pPr>
        <w:tabs>
          <w:tab w:val="center" w:pos="2297"/>
        </w:tabs>
        <w:ind w:left="-15" w:right="0" w:firstLine="0"/>
        <w:jc w:val="left"/>
      </w:pPr>
      <w:r>
        <w:t xml:space="preserve">March 2013  </w:t>
      </w:r>
      <w:r>
        <w:tab/>
        <w:t xml:space="preserve">V1 </w:t>
      </w:r>
    </w:p>
    <w:p w14:paraId="78DC6F49" w14:textId="77777777" w:rsidR="002E4B57" w:rsidRDefault="001F5D6E">
      <w:pPr>
        <w:tabs>
          <w:tab w:val="center" w:pos="1440"/>
          <w:tab w:val="center" w:pos="2297"/>
        </w:tabs>
        <w:ind w:left="-15" w:right="0" w:firstLine="0"/>
        <w:jc w:val="left"/>
      </w:pPr>
      <w:r>
        <w:t xml:space="preserve">April 2020 </w:t>
      </w:r>
      <w:r>
        <w:tab/>
        <w:t xml:space="preserve"> </w:t>
      </w:r>
      <w:r>
        <w:tab/>
        <w:t xml:space="preserve">V2 </w:t>
      </w:r>
    </w:p>
    <w:p w14:paraId="13E4D062" w14:textId="3ED7BC41" w:rsidR="001F5D6E" w:rsidRDefault="001F5D6E">
      <w:pPr>
        <w:tabs>
          <w:tab w:val="center" w:pos="1440"/>
          <w:tab w:val="center" w:pos="2297"/>
        </w:tabs>
        <w:ind w:left="-15" w:right="0" w:firstLine="0"/>
        <w:jc w:val="left"/>
      </w:pPr>
      <w:r>
        <w:t xml:space="preserve">February 2025 </w:t>
      </w:r>
      <w:r>
        <w:tab/>
        <w:t>V3</w:t>
      </w:r>
    </w:p>
    <w:sectPr w:rsidR="001F5D6E">
      <w:headerReference w:type="even" r:id="rId12"/>
      <w:headerReference w:type="default" r:id="rId13"/>
      <w:footerReference w:type="even" r:id="rId14"/>
      <w:footerReference w:type="default" r:id="rId15"/>
      <w:headerReference w:type="first" r:id="rId16"/>
      <w:footerReference w:type="first" r:id="rId17"/>
      <w:pgSz w:w="11906" w:h="16838"/>
      <w:pgMar w:top="1785" w:right="1435" w:bottom="1447" w:left="1440" w:header="168"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45C48" w14:textId="77777777" w:rsidR="00670D16" w:rsidRDefault="00670D16">
      <w:pPr>
        <w:spacing w:after="0" w:line="240" w:lineRule="auto"/>
      </w:pPr>
      <w:r>
        <w:separator/>
      </w:r>
    </w:p>
  </w:endnote>
  <w:endnote w:type="continuationSeparator" w:id="0">
    <w:p w14:paraId="07F0EE36" w14:textId="77777777" w:rsidR="00670D16" w:rsidRDefault="00670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D719" w14:textId="77777777" w:rsidR="002E4B57" w:rsidRDefault="001F5D6E">
    <w:pPr>
      <w:spacing w:after="0"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0EAB988" wp14:editId="17DC5E44">
              <wp:simplePos x="0" y="0"/>
              <wp:positionH relativeFrom="page">
                <wp:posOffset>896417</wp:posOffset>
              </wp:positionH>
              <wp:positionV relativeFrom="page">
                <wp:posOffset>9800844</wp:posOffset>
              </wp:positionV>
              <wp:extent cx="5769610" cy="38100"/>
              <wp:effectExtent l="0" t="0" r="0" b="0"/>
              <wp:wrapSquare wrapText="bothSides"/>
              <wp:docPr id="2818" name="Group 2818"/>
              <wp:cNvGraphicFramePr/>
              <a:graphic xmlns:a="http://schemas.openxmlformats.org/drawingml/2006/main">
                <a:graphicData uri="http://schemas.microsoft.com/office/word/2010/wordprocessingGroup">
                  <wpg:wgp>
                    <wpg:cNvGrpSpPr/>
                    <wpg:grpSpPr>
                      <a:xfrm>
                        <a:off x="0" y="0"/>
                        <a:ext cx="5769610" cy="38100"/>
                        <a:chOff x="0" y="0"/>
                        <a:chExt cx="5769610" cy="38100"/>
                      </a:xfrm>
                    </wpg:grpSpPr>
                    <wps:wsp>
                      <wps:cNvPr id="2997" name="Shape 2997"/>
                      <wps:cNvSpPr/>
                      <wps:spPr>
                        <a:xfrm>
                          <a:off x="0" y="0"/>
                          <a:ext cx="5769610" cy="38100"/>
                        </a:xfrm>
                        <a:custGeom>
                          <a:avLst/>
                          <a:gdLst/>
                          <a:ahLst/>
                          <a:cxnLst/>
                          <a:rect l="0" t="0" r="0" b="0"/>
                          <a:pathLst>
                            <a:path w="5769610" h="38100">
                              <a:moveTo>
                                <a:pt x="0" y="0"/>
                              </a:moveTo>
                              <a:lnTo>
                                <a:pt x="5769610" y="0"/>
                              </a:lnTo>
                              <a:lnTo>
                                <a:pt x="5769610" y="38100"/>
                              </a:lnTo>
                              <a:lnTo>
                                <a:pt x="0" y="38100"/>
                              </a:lnTo>
                              <a:lnTo>
                                <a:pt x="0" y="0"/>
                              </a:lnTo>
                            </a:path>
                          </a:pathLst>
                        </a:custGeom>
                        <a:ln w="0" cap="flat">
                          <a:miter lim="127000"/>
                        </a:ln>
                      </wps:spPr>
                      <wps:style>
                        <a:lnRef idx="0">
                          <a:srgbClr val="000000">
                            <a:alpha val="0"/>
                          </a:srgbClr>
                        </a:lnRef>
                        <a:fillRef idx="1">
                          <a:srgbClr val="9ABA59"/>
                        </a:fillRef>
                        <a:effectRef idx="0">
                          <a:scrgbClr r="0" g="0" b="0"/>
                        </a:effectRef>
                        <a:fontRef idx="none"/>
                      </wps:style>
                      <wps:bodyPr/>
                    </wps:wsp>
                  </wpg:wgp>
                </a:graphicData>
              </a:graphic>
            </wp:anchor>
          </w:drawing>
        </mc:Choice>
        <mc:Fallback xmlns:a="http://schemas.openxmlformats.org/drawingml/2006/main">
          <w:pict>
            <v:group id="Group 2818" style="width:454.3pt;height:3pt;position:absolute;mso-position-horizontal-relative:page;mso-position-horizontal:absolute;margin-left:70.584pt;mso-position-vertical-relative:page;margin-top:771.72pt;" coordsize="57696,381">
              <v:shape id="Shape 2998" style="position:absolute;width:57696;height:381;left:0;top:0;" coordsize="5769610,38100" path="m0,0l5769610,0l5769610,38100l0,38100l0,0">
                <v:stroke weight="0pt" endcap="flat" joinstyle="miter" miterlimit="10" on="false" color="#000000" opacity="0"/>
                <v:fill on="true" color="#9aba59"/>
              </v:shape>
              <w10:wrap type="square"/>
            </v:group>
          </w:pict>
        </mc:Fallback>
      </mc:AlternateContent>
    </w:r>
    <w:r>
      <w:rPr>
        <w:rFonts w:ascii="Calibri" w:eastAsia="Calibri" w:hAnsi="Calibri" w:cs="Calibri"/>
        <w:i/>
        <w:color w:val="8B8B8B"/>
      </w:rPr>
      <w:t xml:space="preserve">MediPet Animal Health Insurance Brokers (PTY) LTD | FSP Number 32613 </w:t>
    </w:r>
  </w:p>
  <w:p w14:paraId="41C7C9CD" w14:textId="77777777" w:rsidR="002E4B57" w:rsidRDefault="001F5D6E">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D53F" w14:textId="77777777" w:rsidR="002E4B57" w:rsidRDefault="001F5D6E">
    <w:pPr>
      <w:spacing w:after="0"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C191198" wp14:editId="68C4EB94">
              <wp:simplePos x="0" y="0"/>
              <wp:positionH relativeFrom="page">
                <wp:posOffset>896417</wp:posOffset>
              </wp:positionH>
              <wp:positionV relativeFrom="page">
                <wp:posOffset>9800844</wp:posOffset>
              </wp:positionV>
              <wp:extent cx="5769610" cy="38100"/>
              <wp:effectExtent l="0" t="0" r="0" b="0"/>
              <wp:wrapSquare wrapText="bothSides"/>
              <wp:docPr id="2796" name="Group 2796"/>
              <wp:cNvGraphicFramePr/>
              <a:graphic xmlns:a="http://schemas.openxmlformats.org/drawingml/2006/main">
                <a:graphicData uri="http://schemas.microsoft.com/office/word/2010/wordprocessingGroup">
                  <wpg:wgp>
                    <wpg:cNvGrpSpPr/>
                    <wpg:grpSpPr>
                      <a:xfrm>
                        <a:off x="0" y="0"/>
                        <a:ext cx="5769610" cy="38100"/>
                        <a:chOff x="0" y="0"/>
                        <a:chExt cx="5769610" cy="38100"/>
                      </a:xfrm>
                    </wpg:grpSpPr>
                    <wps:wsp>
                      <wps:cNvPr id="2995" name="Shape 2995"/>
                      <wps:cNvSpPr/>
                      <wps:spPr>
                        <a:xfrm>
                          <a:off x="0" y="0"/>
                          <a:ext cx="5769610" cy="38100"/>
                        </a:xfrm>
                        <a:custGeom>
                          <a:avLst/>
                          <a:gdLst/>
                          <a:ahLst/>
                          <a:cxnLst/>
                          <a:rect l="0" t="0" r="0" b="0"/>
                          <a:pathLst>
                            <a:path w="5769610" h="38100">
                              <a:moveTo>
                                <a:pt x="0" y="0"/>
                              </a:moveTo>
                              <a:lnTo>
                                <a:pt x="5769610" y="0"/>
                              </a:lnTo>
                              <a:lnTo>
                                <a:pt x="5769610" y="38100"/>
                              </a:lnTo>
                              <a:lnTo>
                                <a:pt x="0" y="38100"/>
                              </a:lnTo>
                              <a:lnTo>
                                <a:pt x="0" y="0"/>
                              </a:lnTo>
                            </a:path>
                          </a:pathLst>
                        </a:custGeom>
                        <a:ln w="0" cap="flat">
                          <a:miter lim="127000"/>
                        </a:ln>
                      </wps:spPr>
                      <wps:style>
                        <a:lnRef idx="0">
                          <a:srgbClr val="000000">
                            <a:alpha val="0"/>
                          </a:srgbClr>
                        </a:lnRef>
                        <a:fillRef idx="1">
                          <a:srgbClr val="9ABA59"/>
                        </a:fillRef>
                        <a:effectRef idx="0">
                          <a:scrgbClr r="0" g="0" b="0"/>
                        </a:effectRef>
                        <a:fontRef idx="none"/>
                      </wps:style>
                      <wps:bodyPr/>
                    </wps:wsp>
                  </wpg:wgp>
                </a:graphicData>
              </a:graphic>
            </wp:anchor>
          </w:drawing>
        </mc:Choice>
        <mc:Fallback xmlns:a="http://schemas.openxmlformats.org/drawingml/2006/main">
          <w:pict>
            <v:group id="Group 2796" style="width:454.3pt;height:3pt;position:absolute;mso-position-horizontal-relative:page;mso-position-horizontal:absolute;margin-left:70.584pt;mso-position-vertical-relative:page;margin-top:771.72pt;" coordsize="57696,381">
              <v:shape id="Shape 2996" style="position:absolute;width:57696;height:381;left:0;top:0;" coordsize="5769610,38100" path="m0,0l5769610,0l5769610,38100l0,38100l0,0">
                <v:stroke weight="0pt" endcap="flat" joinstyle="miter" miterlimit="10" on="false" color="#000000" opacity="0"/>
                <v:fill on="true" color="#9aba59"/>
              </v:shape>
              <w10:wrap type="square"/>
            </v:group>
          </w:pict>
        </mc:Fallback>
      </mc:AlternateContent>
    </w:r>
    <w:r>
      <w:rPr>
        <w:rFonts w:ascii="Calibri" w:eastAsia="Calibri" w:hAnsi="Calibri" w:cs="Calibri"/>
        <w:i/>
        <w:color w:val="8B8B8B"/>
      </w:rPr>
      <w:t xml:space="preserve">MediPet Animal Health Insurance Brokers (PTY) LTD | FSP Number 32613 </w:t>
    </w:r>
  </w:p>
  <w:p w14:paraId="42339A6B" w14:textId="77777777" w:rsidR="002E4B57" w:rsidRDefault="001F5D6E">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28D0" w14:textId="77777777" w:rsidR="002E4B57" w:rsidRDefault="001F5D6E">
    <w:pPr>
      <w:spacing w:after="0"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F17D3AD" wp14:editId="40205988">
              <wp:simplePos x="0" y="0"/>
              <wp:positionH relativeFrom="page">
                <wp:posOffset>896417</wp:posOffset>
              </wp:positionH>
              <wp:positionV relativeFrom="page">
                <wp:posOffset>9800844</wp:posOffset>
              </wp:positionV>
              <wp:extent cx="5769610" cy="38100"/>
              <wp:effectExtent l="0" t="0" r="0" b="0"/>
              <wp:wrapSquare wrapText="bothSides"/>
              <wp:docPr id="2774" name="Group 2774"/>
              <wp:cNvGraphicFramePr/>
              <a:graphic xmlns:a="http://schemas.openxmlformats.org/drawingml/2006/main">
                <a:graphicData uri="http://schemas.microsoft.com/office/word/2010/wordprocessingGroup">
                  <wpg:wgp>
                    <wpg:cNvGrpSpPr/>
                    <wpg:grpSpPr>
                      <a:xfrm>
                        <a:off x="0" y="0"/>
                        <a:ext cx="5769610" cy="38100"/>
                        <a:chOff x="0" y="0"/>
                        <a:chExt cx="5769610" cy="38100"/>
                      </a:xfrm>
                    </wpg:grpSpPr>
                    <wps:wsp>
                      <wps:cNvPr id="2993" name="Shape 2993"/>
                      <wps:cNvSpPr/>
                      <wps:spPr>
                        <a:xfrm>
                          <a:off x="0" y="0"/>
                          <a:ext cx="5769610" cy="38100"/>
                        </a:xfrm>
                        <a:custGeom>
                          <a:avLst/>
                          <a:gdLst/>
                          <a:ahLst/>
                          <a:cxnLst/>
                          <a:rect l="0" t="0" r="0" b="0"/>
                          <a:pathLst>
                            <a:path w="5769610" h="38100">
                              <a:moveTo>
                                <a:pt x="0" y="0"/>
                              </a:moveTo>
                              <a:lnTo>
                                <a:pt x="5769610" y="0"/>
                              </a:lnTo>
                              <a:lnTo>
                                <a:pt x="5769610" y="38100"/>
                              </a:lnTo>
                              <a:lnTo>
                                <a:pt x="0" y="38100"/>
                              </a:lnTo>
                              <a:lnTo>
                                <a:pt x="0" y="0"/>
                              </a:lnTo>
                            </a:path>
                          </a:pathLst>
                        </a:custGeom>
                        <a:ln w="0" cap="flat">
                          <a:miter lim="127000"/>
                        </a:ln>
                      </wps:spPr>
                      <wps:style>
                        <a:lnRef idx="0">
                          <a:srgbClr val="000000">
                            <a:alpha val="0"/>
                          </a:srgbClr>
                        </a:lnRef>
                        <a:fillRef idx="1">
                          <a:srgbClr val="9ABA59"/>
                        </a:fillRef>
                        <a:effectRef idx="0">
                          <a:scrgbClr r="0" g="0" b="0"/>
                        </a:effectRef>
                        <a:fontRef idx="none"/>
                      </wps:style>
                      <wps:bodyPr/>
                    </wps:wsp>
                  </wpg:wgp>
                </a:graphicData>
              </a:graphic>
            </wp:anchor>
          </w:drawing>
        </mc:Choice>
        <mc:Fallback xmlns:a="http://schemas.openxmlformats.org/drawingml/2006/main">
          <w:pict>
            <v:group id="Group 2774" style="width:454.3pt;height:3pt;position:absolute;mso-position-horizontal-relative:page;mso-position-horizontal:absolute;margin-left:70.584pt;mso-position-vertical-relative:page;margin-top:771.72pt;" coordsize="57696,381">
              <v:shape id="Shape 2994" style="position:absolute;width:57696;height:381;left:0;top:0;" coordsize="5769610,38100" path="m0,0l5769610,0l5769610,38100l0,38100l0,0">
                <v:stroke weight="0pt" endcap="flat" joinstyle="miter" miterlimit="10" on="false" color="#000000" opacity="0"/>
                <v:fill on="true" color="#9aba59"/>
              </v:shape>
              <w10:wrap type="square"/>
            </v:group>
          </w:pict>
        </mc:Fallback>
      </mc:AlternateContent>
    </w:r>
    <w:r>
      <w:rPr>
        <w:rFonts w:ascii="Calibri" w:eastAsia="Calibri" w:hAnsi="Calibri" w:cs="Calibri"/>
        <w:i/>
        <w:color w:val="8B8B8B"/>
      </w:rPr>
      <w:t xml:space="preserve">MediPet Animal Health Insurance Brokers (PTY) LTD | FSP Number 32613 </w:t>
    </w:r>
  </w:p>
  <w:p w14:paraId="7E4E89BA" w14:textId="77777777" w:rsidR="002E4B57" w:rsidRDefault="001F5D6E">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8871" w14:textId="77777777" w:rsidR="00670D16" w:rsidRDefault="00670D16">
      <w:pPr>
        <w:spacing w:after="0" w:line="240" w:lineRule="auto"/>
      </w:pPr>
      <w:r>
        <w:separator/>
      </w:r>
    </w:p>
  </w:footnote>
  <w:footnote w:type="continuationSeparator" w:id="0">
    <w:p w14:paraId="6ADA77D2" w14:textId="77777777" w:rsidR="00670D16" w:rsidRDefault="00670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22249" w14:textId="77777777" w:rsidR="002E4B57" w:rsidRDefault="001F5D6E">
    <w:pPr>
      <w:spacing w:after="0" w:line="259" w:lineRule="auto"/>
      <w:ind w:left="45" w:right="0" w:firstLine="0"/>
      <w:jc w:val="center"/>
    </w:pPr>
    <w:r>
      <w:rPr>
        <w:noProof/>
      </w:rPr>
      <w:drawing>
        <wp:anchor distT="0" distB="0" distL="114300" distR="114300" simplePos="0" relativeHeight="251658240" behindDoc="0" locked="0" layoutInCell="1" allowOverlap="0" wp14:anchorId="6A7AFC8B" wp14:editId="0B37619A">
          <wp:simplePos x="0" y="0"/>
          <wp:positionH relativeFrom="page">
            <wp:posOffset>2604135</wp:posOffset>
          </wp:positionH>
          <wp:positionV relativeFrom="page">
            <wp:posOffset>106807</wp:posOffset>
          </wp:positionV>
          <wp:extent cx="1990090" cy="77724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90090" cy="777240"/>
                  </a:xfrm>
                  <a:prstGeom prst="rect">
                    <a:avLst/>
                  </a:prstGeom>
                </pic:spPr>
              </pic:pic>
            </a:graphicData>
          </a:graphic>
        </wp:anchor>
      </w:drawing>
    </w:r>
    <w:r>
      <w:rPr>
        <w:rFonts w:ascii="Calibri" w:eastAsia="Calibri" w:hAnsi="Calibri" w:cs="Calibri"/>
      </w:rPr>
      <w:t xml:space="preserve"> </w:t>
    </w:r>
  </w:p>
  <w:p w14:paraId="68AA1ED0" w14:textId="77777777" w:rsidR="002E4B57" w:rsidRDefault="001F5D6E">
    <w:pPr>
      <w:spacing w:after="0" w:line="259" w:lineRule="auto"/>
      <w:ind w:left="45" w:right="0" w:firstLine="0"/>
      <w:jc w:val="center"/>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6933" w14:textId="77777777" w:rsidR="002E4B57" w:rsidRDefault="001F5D6E">
    <w:pPr>
      <w:spacing w:after="0" w:line="259" w:lineRule="auto"/>
      <w:ind w:left="45" w:right="0" w:firstLine="0"/>
      <w:jc w:val="center"/>
    </w:pPr>
    <w:r>
      <w:rPr>
        <w:noProof/>
      </w:rPr>
      <w:drawing>
        <wp:anchor distT="0" distB="0" distL="114300" distR="114300" simplePos="0" relativeHeight="251659264" behindDoc="0" locked="0" layoutInCell="1" allowOverlap="0" wp14:anchorId="66A80325" wp14:editId="568D971B">
          <wp:simplePos x="0" y="0"/>
          <wp:positionH relativeFrom="page">
            <wp:posOffset>2604135</wp:posOffset>
          </wp:positionH>
          <wp:positionV relativeFrom="page">
            <wp:posOffset>106807</wp:posOffset>
          </wp:positionV>
          <wp:extent cx="1990090" cy="777240"/>
          <wp:effectExtent l="0" t="0" r="0" b="0"/>
          <wp:wrapSquare wrapText="bothSides"/>
          <wp:docPr id="1747349870" name="Picture 1747349870"/>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90090" cy="777240"/>
                  </a:xfrm>
                  <a:prstGeom prst="rect">
                    <a:avLst/>
                  </a:prstGeom>
                </pic:spPr>
              </pic:pic>
            </a:graphicData>
          </a:graphic>
        </wp:anchor>
      </w:drawing>
    </w:r>
    <w:r>
      <w:rPr>
        <w:rFonts w:ascii="Calibri" w:eastAsia="Calibri" w:hAnsi="Calibri" w:cs="Calibri"/>
      </w:rPr>
      <w:t xml:space="preserve"> </w:t>
    </w:r>
  </w:p>
  <w:p w14:paraId="21ACA265" w14:textId="77777777" w:rsidR="002E4B57" w:rsidRDefault="001F5D6E">
    <w:pPr>
      <w:spacing w:after="0" w:line="259" w:lineRule="auto"/>
      <w:ind w:left="45" w:right="0" w:firstLine="0"/>
      <w:jc w:val="center"/>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272C" w14:textId="77777777" w:rsidR="002E4B57" w:rsidRDefault="001F5D6E">
    <w:pPr>
      <w:spacing w:after="0" w:line="259" w:lineRule="auto"/>
      <w:ind w:left="45" w:right="0" w:firstLine="0"/>
      <w:jc w:val="center"/>
    </w:pPr>
    <w:r>
      <w:rPr>
        <w:noProof/>
      </w:rPr>
      <w:drawing>
        <wp:anchor distT="0" distB="0" distL="114300" distR="114300" simplePos="0" relativeHeight="251660288" behindDoc="0" locked="0" layoutInCell="1" allowOverlap="0" wp14:anchorId="658E743D" wp14:editId="250E4272">
          <wp:simplePos x="0" y="0"/>
          <wp:positionH relativeFrom="page">
            <wp:posOffset>2604135</wp:posOffset>
          </wp:positionH>
          <wp:positionV relativeFrom="page">
            <wp:posOffset>106807</wp:posOffset>
          </wp:positionV>
          <wp:extent cx="1990090" cy="777240"/>
          <wp:effectExtent l="0" t="0" r="0" b="0"/>
          <wp:wrapSquare wrapText="bothSides"/>
          <wp:docPr id="1637502731" name="Picture 163750273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90090" cy="777240"/>
                  </a:xfrm>
                  <a:prstGeom prst="rect">
                    <a:avLst/>
                  </a:prstGeom>
                </pic:spPr>
              </pic:pic>
            </a:graphicData>
          </a:graphic>
        </wp:anchor>
      </w:drawing>
    </w:r>
    <w:r>
      <w:rPr>
        <w:rFonts w:ascii="Calibri" w:eastAsia="Calibri" w:hAnsi="Calibri" w:cs="Calibri"/>
      </w:rPr>
      <w:t xml:space="preserve"> </w:t>
    </w:r>
  </w:p>
  <w:p w14:paraId="47CA8765" w14:textId="77777777" w:rsidR="002E4B57" w:rsidRDefault="001F5D6E">
    <w:pPr>
      <w:spacing w:after="0" w:line="259" w:lineRule="auto"/>
      <w:ind w:left="45" w:right="0" w:firstLine="0"/>
      <w:jc w:val="center"/>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277"/>
    <w:multiLevelType w:val="hybridMultilevel"/>
    <w:tmpl w:val="841A75E4"/>
    <w:lvl w:ilvl="0" w:tplc="15A2582A">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DC6A8A5A">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8000544">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43890F8">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0D668AA">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0023718">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4900BD0">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8C62F2FC">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0606ED8">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E61634"/>
    <w:multiLevelType w:val="hybridMultilevel"/>
    <w:tmpl w:val="E2E88578"/>
    <w:lvl w:ilvl="0" w:tplc="D728DA24">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45252B4">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4BD233F8">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3C76EE92">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0B07D1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3EC6862">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D1ECC27A">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580601E">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BCA0158">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16cid:durableId="2101565532">
    <w:abstractNumId w:val="0"/>
  </w:num>
  <w:num w:numId="2" w16cid:durableId="62739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57"/>
    <w:rsid w:val="001632E6"/>
    <w:rsid w:val="001F5D6E"/>
    <w:rsid w:val="002E4B57"/>
    <w:rsid w:val="00670D16"/>
    <w:rsid w:val="007B3878"/>
    <w:rsid w:val="008B63A9"/>
    <w:rsid w:val="00942797"/>
    <w:rsid w:val="009E653D"/>
    <w:rsid w:val="00DC24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577A"/>
  <w15:docId w15:val="{0FBC178A-8B6A-5647-90B3-3B519AFB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71" w:lineRule="auto"/>
      <w:ind w:left="10" w:right="1" w:hanging="10"/>
      <w:jc w:val="both"/>
    </w:pPr>
    <w:rPr>
      <w:rFonts w:ascii="Century Gothic" w:eastAsia="Century Gothic" w:hAnsi="Century Gothic" w:cs="Century Gothic"/>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entury Gothic" w:eastAsia="Century Gothic" w:hAnsi="Century Gothic" w:cs="Century Gothic"/>
      <w:b/>
      <w:color w:val="91D05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entury Gothic" w:eastAsia="Century Gothic" w:hAnsi="Century Gothic" w:cs="Century Gothic"/>
      <w:b/>
      <w:color w:val="91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91D050"/>
      <w:sz w:val="24"/>
    </w:rPr>
  </w:style>
  <w:style w:type="character" w:customStyle="1" w:styleId="Heading1Char">
    <w:name w:val="Heading 1 Char"/>
    <w:link w:val="Heading1"/>
    <w:rPr>
      <w:rFonts w:ascii="Century Gothic" w:eastAsia="Century Gothic" w:hAnsi="Century Gothic" w:cs="Century Gothic"/>
      <w:b/>
      <w:color w:val="91D050"/>
      <w:sz w:val="24"/>
    </w:rPr>
  </w:style>
  <w:style w:type="paragraph" w:styleId="TOC1">
    <w:name w:val="toc 1"/>
    <w:hidden/>
    <w:pPr>
      <w:spacing w:after="118" w:line="259" w:lineRule="auto"/>
      <w:ind w:left="25" w:right="20" w:hanging="1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edipet.co.z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pet.co.z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pet.co.z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edipet.co.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dipet.co.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Viljoen</dc:creator>
  <cp:keywords/>
  <cp:lastModifiedBy>Hanim Abrahams</cp:lastModifiedBy>
  <cp:revision>3</cp:revision>
  <dcterms:created xsi:type="dcterms:W3CDTF">2025-02-21T09:34:00Z</dcterms:created>
  <dcterms:modified xsi:type="dcterms:W3CDTF">2025-02-21T09:41:00Z</dcterms:modified>
</cp:coreProperties>
</file>